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Sölvesborg kommunfullmäktige</w:t>
      </w:r>
    </w:p>
    <w:p>
      <w:pPr>
        <w:pStyle w:val="Heading1"/>
      </w:pPr>
      <w:r>
        <w:t xml:space="preserve">Tryggare skolmiljö för HBTQI-elever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Sölvesborg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Brå-undersökningen 2023 visar att 22 % av ungdomar i Sölvesborg upplever otrygghet kopplat till kön eller identitet. Skolinspektionen har påpekat brister i likabehandlingsarbete.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Sölvesborg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HBTQI-fortbildning för all skolpersonal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uppdra åt barn- och utbildningsnämnden att ta fram handlingsplan mot diskriminering.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elevrådsrepresentanter i likabehandlingsgrupper på samtliga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400 tkr för material och föreläsningar.</w:t>
      </w:r>
    </w:p>
    <w:p>
      <w:pPr>
        <w:spacing w:before="360"/>
      </w:pPr>
    </w:p>
    <w:p>
      <w:r>
        <w:t xml:space="preserve">Sölvesborg,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Sölvesborg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2026-07-14T05:17:51.330Z</dcterms:created>
  <dcterms:modified xsi:type="dcterms:W3CDTF">2026-07-14T05:17:51.330Z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